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rPr>
      </w:pPr>
      <w:bookmarkStart w:colFirst="0" w:colLast="0" w:name="_gjdgxs" w:id="0"/>
      <w:bookmarkEnd w:id="0"/>
      <w:r w:rsidDel="00000000" w:rsidR="00000000" w:rsidRPr="00000000">
        <w:rPr>
          <w:rFonts w:ascii="Avenir" w:cs="Avenir" w:eastAsia="Avenir" w:hAnsi="Avenir"/>
          <w:rtl w:val="0"/>
        </w:rPr>
        <w:t xml:space="preserve">MARYLAND INSTITUTE COLLEGE OF ART</w:t>
      </w: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rPr>
      </w:pPr>
      <w:bookmarkStart w:colFirst="0" w:colLast="0" w:name="_an2p6na9ogbu" w:id="1"/>
      <w:bookmarkEnd w:id="1"/>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rPr>
      </w:pPr>
      <w:bookmarkStart w:colFirst="0" w:colLast="0" w:name="_1xmef11hqu" w:id="2"/>
      <w:bookmarkEnd w:id="2"/>
      <w:r w:rsidDel="00000000" w:rsidR="00000000" w:rsidRPr="00000000">
        <w:rPr>
          <w:rFonts w:ascii="Avenir" w:cs="Avenir" w:eastAsia="Avenir" w:hAnsi="Avenir"/>
          <w:b w:val="1"/>
          <w:rtl w:val="0"/>
        </w:rPr>
        <w:t xml:space="preserve">COURSE SYLLABUS GUIDELINES</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rtl w:val="0"/>
        </w:rPr>
        <w:t xml:space="preserve">Canvas is MICA’s course management system (CMS)</w:t>
      </w:r>
      <w:r w:rsidDel="00000000" w:rsidR="00000000" w:rsidRPr="00000000">
        <w:rPr>
          <w:rFonts w:ascii="Avenir" w:cs="Avenir" w:eastAsia="Avenir" w:hAnsi="Avenir"/>
          <w:rtl w:val="0"/>
        </w:rPr>
        <w:t xml:space="preserve">: You are required to post your syllabus to your course site in </w:t>
      </w:r>
      <w:hyperlink r:id="rId6">
        <w:r w:rsidDel="00000000" w:rsidR="00000000" w:rsidRPr="00000000">
          <w:rPr>
            <w:rFonts w:ascii="Avenir" w:cs="Avenir" w:eastAsia="Avenir" w:hAnsi="Avenir"/>
            <w:color w:val="1155cc"/>
            <w:u w:val="single"/>
            <w:rtl w:val="0"/>
          </w:rPr>
          <w:t xml:space="preserve">Canvas</w:t>
        </w:r>
      </w:hyperlink>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b w:val="1"/>
        </w:rPr>
      </w:pPr>
      <w:r w:rsidDel="00000000" w:rsidR="00000000" w:rsidRPr="00000000">
        <w:rPr>
          <w:rFonts w:ascii="Avenir" w:cs="Avenir" w:eastAsia="Avenir" w:hAnsi="Avenir"/>
          <w:b w:val="1"/>
          <w:rtl w:val="0"/>
        </w:rPr>
        <w:t xml:space="preserve">Submittal</w:t>
      </w:r>
      <w:r w:rsidDel="00000000" w:rsidR="00000000" w:rsidRPr="00000000">
        <w:rPr>
          <w:rFonts w:ascii="Avenir" w:cs="Avenir" w:eastAsia="Avenir" w:hAnsi="Avenir"/>
          <w:rtl w:val="0"/>
        </w:rPr>
        <w:t xml:space="preserve">: It is the responsibility of each faculty member to submit digital files of their syllabi to the College </w:t>
      </w:r>
      <w:r w:rsidDel="00000000" w:rsidR="00000000" w:rsidRPr="00000000">
        <w:rPr>
          <w:rFonts w:ascii="Avenir" w:cs="Avenir" w:eastAsia="Avenir" w:hAnsi="Avenir"/>
          <w:rtl w:val="0"/>
        </w:rPr>
        <w:t xml:space="preserve">by the end of the first week of the semester in which the courses are being taught.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u w:val="single"/>
          <w:rtl w:val="0"/>
        </w:rPr>
        <w:t xml:space="preserve">NB: Fall 2020 syllabi are due to department chairs and program directors August 15.</w:t>
      </w: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tl w:val="0"/>
        </w:rPr>
      </w:r>
    </w:p>
    <w:p w:rsidR="00000000" w:rsidDel="00000000" w:rsidP="00000000" w:rsidRDefault="00000000" w:rsidRPr="00000000" w14:paraId="0000000A">
      <w:pPr>
        <w:rPr>
          <w:rFonts w:ascii="Avenir" w:cs="Avenir" w:eastAsia="Avenir" w:hAnsi="Avenir"/>
          <w:i w:val="1"/>
        </w:rPr>
      </w:pPr>
      <w:r w:rsidDel="00000000" w:rsidR="00000000" w:rsidRPr="00000000">
        <w:rPr>
          <w:rFonts w:ascii="Avenir" w:cs="Avenir" w:eastAsia="Avenir" w:hAnsi="Avenir"/>
          <w:rtl w:val="0"/>
        </w:rPr>
        <w:t xml:space="preserve">Please save documents like so: "LastName_FirstName_CourseTitle" (e.g. Smith_Jane_IntroToPhoto) and attach as a Word file or PDF in an email, with a subject of the semester and course, e.g. Fall 2020 Syllabus Intro to Photo, to the appropriate undergraduate department administrative coordinator or assistant, the Administrative Assistant for Graduate Studies, or </w:t>
      </w:r>
      <w:r w:rsidDel="00000000" w:rsidR="00000000" w:rsidRPr="00000000">
        <w:rPr>
          <w:rFonts w:ascii="Avenir" w:cs="Avenir" w:eastAsia="Avenir" w:hAnsi="Avenir"/>
          <w:rtl w:val="0"/>
        </w:rPr>
        <w:t xml:space="preserve">the Open Studies </w:t>
      </w:r>
      <w:r w:rsidDel="00000000" w:rsidR="00000000" w:rsidRPr="00000000">
        <w:rPr>
          <w:rFonts w:ascii="Avenir" w:cs="Avenir" w:eastAsia="Avenir" w:hAnsi="Avenir"/>
          <w:rtl w:val="0"/>
        </w:rPr>
        <w:t xml:space="preserve">student relations manager.</w:t>
      </w: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Syllabi should contain:</w:t>
      </w:r>
    </w:p>
    <w:p w:rsidR="00000000" w:rsidDel="00000000" w:rsidP="00000000" w:rsidRDefault="00000000" w:rsidRPr="00000000" w14:paraId="0000000E">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0F">
      <w:pPr>
        <w:ind w:left="0" w:firstLine="0"/>
        <w:rPr>
          <w:rFonts w:ascii="Avenir" w:cs="Avenir" w:eastAsia="Avenir" w:hAnsi="Avenir"/>
          <w:b w:val="1"/>
        </w:rPr>
      </w:pPr>
      <w:r w:rsidDel="00000000" w:rsidR="00000000" w:rsidRPr="00000000">
        <w:rPr>
          <w:rFonts w:ascii="Avenir" w:cs="Avenir" w:eastAsia="Avenir" w:hAnsi="Avenir"/>
          <w:b w:val="1"/>
          <w:rtl w:val="0"/>
        </w:rPr>
        <w:t xml:space="preserve">The course title as it appears in the Academic Catalog, number, semester offered, credits, course type (seminar, studio, etc.), prerequisite(s).</w:t>
      </w:r>
    </w:p>
    <w:p w:rsidR="00000000" w:rsidDel="00000000" w:rsidP="00000000" w:rsidRDefault="00000000" w:rsidRPr="00000000" w14:paraId="00000010">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1">
      <w:pPr>
        <w:ind w:left="0" w:firstLine="0"/>
        <w:rPr>
          <w:rFonts w:ascii="Avenir" w:cs="Avenir" w:eastAsia="Avenir" w:hAnsi="Avenir"/>
          <w:b w:val="1"/>
        </w:rPr>
      </w:pPr>
      <w:r w:rsidDel="00000000" w:rsidR="00000000" w:rsidRPr="00000000">
        <w:rPr>
          <w:rFonts w:ascii="Avenir" w:cs="Avenir" w:eastAsia="Avenir" w:hAnsi="Avenir"/>
          <w:b w:val="1"/>
          <w:rtl w:val="0"/>
        </w:rPr>
        <w:t xml:space="preserve">Course meeting time(s)</w:t>
      </w:r>
      <w:r w:rsidDel="00000000" w:rsidR="00000000" w:rsidRPr="00000000">
        <w:rPr>
          <w:rFonts w:ascii="Avenir" w:cs="Avenir" w:eastAsia="Avenir" w:hAnsi="Avenir"/>
          <w:b w:val="1"/>
          <w:rtl w:val="0"/>
        </w:rPr>
        <w:t xml:space="preserve"> and location</w:t>
      </w:r>
      <w:r w:rsidDel="00000000" w:rsidR="00000000" w:rsidRPr="00000000">
        <w:rPr>
          <w:rFonts w:ascii="Avenir" w:cs="Avenir" w:eastAsia="Avenir" w:hAnsi="Avenir"/>
          <w:b w:val="1"/>
          <w:rtl w:val="0"/>
        </w:rPr>
        <w:t xml:space="preserve">s/modality, e.g. </w:t>
      </w:r>
      <w:hyperlink r:id="rId7">
        <w:r w:rsidDel="00000000" w:rsidR="00000000" w:rsidRPr="00000000">
          <w:rPr>
            <w:rFonts w:ascii="Avenir" w:cs="Avenir" w:eastAsia="Avenir" w:hAnsi="Avenir"/>
            <w:b w:val="1"/>
            <w:color w:val="1155cc"/>
            <w:u w:val="single"/>
            <w:rtl w:val="0"/>
          </w:rPr>
          <w:t xml:space="preserve">Zoom</w:t>
        </w:r>
      </w:hyperlink>
      <w:r w:rsidDel="00000000" w:rsidR="00000000" w:rsidRPr="00000000">
        <w:rPr>
          <w:rFonts w:ascii="Avenir" w:cs="Avenir" w:eastAsia="Avenir" w:hAnsi="Avenir"/>
          <w:b w:val="1"/>
          <w:rtl w:val="0"/>
        </w:rPr>
        <w:t xml:space="preserve">.</w:t>
      </w:r>
      <w:r w:rsidDel="00000000" w:rsidR="00000000" w:rsidRPr="00000000">
        <w:rPr>
          <w:rtl w:val="0"/>
        </w:rPr>
      </w:r>
    </w:p>
    <w:p w:rsidR="00000000" w:rsidDel="00000000" w:rsidP="00000000" w:rsidRDefault="00000000" w:rsidRPr="00000000" w14:paraId="00000012">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3">
      <w:pPr>
        <w:ind w:left="0" w:firstLine="0"/>
        <w:rPr>
          <w:rFonts w:ascii="Avenir" w:cs="Avenir" w:eastAsia="Avenir" w:hAnsi="Avenir"/>
          <w:b w:val="1"/>
        </w:rPr>
      </w:pPr>
      <w:r w:rsidDel="00000000" w:rsidR="00000000" w:rsidRPr="00000000">
        <w:rPr>
          <w:rFonts w:ascii="Avenir" w:cs="Avenir" w:eastAsia="Avenir" w:hAnsi="Avenir"/>
          <w:b w:val="1"/>
          <w:rtl w:val="0"/>
        </w:rPr>
        <w:t xml:space="preserve">Faculty name, contact information (work phone number and email address), office location, and </w:t>
      </w:r>
      <w:r w:rsidDel="00000000" w:rsidR="00000000" w:rsidRPr="00000000">
        <w:rPr>
          <w:rFonts w:ascii="Avenir" w:cs="Avenir" w:eastAsia="Avenir" w:hAnsi="Avenir"/>
          <w:b w:val="1"/>
          <w:rtl w:val="0"/>
        </w:rPr>
        <w:t xml:space="preserve">office hours</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14">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5">
      <w:pPr>
        <w:ind w:left="0" w:firstLine="0"/>
        <w:rPr>
          <w:rFonts w:ascii="Avenir" w:cs="Avenir" w:eastAsia="Avenir" w:hAnsi="Avenir"/>
        </w:rPr>
      </w:pPr>
      <w:r w:rsidDel="00000000" w:rsidR="00000000" w:rsidRPr="00000000">
        <w:rPr>
          <w:rFonts w:ascii="Avenir" w:cs="Avenir" w:eastAsia="Avenir" w:hAnsi="Avenir"/>
          <w:b w:val="1"/>
          <w:rtl w:val="0"/>
        </w:rPr>
        <w:t xml:space="preserve">Course description as it appears in the Catalog.</w:t>
      </w:r>
      <w:r w:rsidDel="00000000" w:rsidR="00000000" w:rsidRPr="00000000">
        <w:rPr>
          <w:rFonts w:ascii="Avenir" w:cs="Avenir" w:eastAsia="Avenir" w:hAnsi="Avenir"/>
          <w:rtl w:val="0"/>
        </w:rPr>
        <w:t xml:space="preserve"> Faculty may add semester-specific comments and show how they fit with and elaborate on the catalog course description.</w:t>
      </w:r>
    </w:p>
    <w:p w:rsidR="00000000" w:rsidDel="00000000" w:rsidP="00000000" w:rsidRDefault="00000000" w:rsidRPr="00000000" w14:paraId="00000016">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7">
      <w:pPr>
        <w:ind w:left="0" w:firstLine="0"/>
        <w:rPr>
          <w:rFonts w:ascii="Avenir" w:cs="Avenir" w:eastAsia="Avenir" w:hAnsi="Avenir"/>
        </w:rPr>
      </w:pPr>
      <w:r w:rsidDel="00000000" w:rsidR="00000000" w:rsidRPr="00000000">
        <w:rPr>
          <w:rFonts w:ascii="Avenir" w:cs="Avenir" w:eastAsia="Avenir" w:hAnsi="Avenir"/>
          <w:b w:val="1"/>
          <w:rtl w:val="0"/>
        </w:rPr>
        <w:t xml:space="preserve">Course</w:t>
      </w:r>
      <w:r w:rsidDel="00000000" w:rsidR="00000000" w:rsidRPr="00000000">
        <w:rPr>
          <w:rFonts w:ascii="Avenir" w:cs="Avenir" w:eastAsia="Avenir" w:hAnsi="Avenir"/>
          <w:b w:val="1"/>
          <w:rtl w:val="0"/>
        </w:rPr>
        <w:t xml:space="preserve"> Learning Outcomes</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CLOs explain the habits and behaviors students will develop as well as what they will be able to know and do as a result of taking the course. They also communicate which aspects of the course the instructor considers most important. CLOs should be reflected in the ways in which student growth and learning are assessed.</w:t>
      </w:r>
    </w:p>
    <w:p w:rsidR="00000000" w:rsidDel="00000000" w:rsidP="00000000" w:rsidRDefault="00000000" w:rsidRPr="00000000" w14:paraId="00000018">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9">
      <w:pPr>
        <w:ind w:left="0" w:firstLine="0"/>
        <w:rPr>
          <w:rFonts w:ascii="Avenir" w:cs="Avenir" w:eastAsia="Avenir" w:hAnsi="Avenir"/>
        </w:rPr>
      </w:pPr>
      <w:r w:rsidDel="00000000" w:rsidR="00000000" w:rsidRPr="00000000">
        <w:rPr>
          <w:rFonts w:ascii="Avenir" w:cs="Avenir" w:eastAsia="Avenir" w:hAnsi="Avenir"/>
          <w:b w:val="1"/>
          <w:rtl w:val="0"/>
        </w:rPr>
        <w:t xml:space="preserve">Anticipated costs: required text(s), supplies,</w:t>
      </w:r>
      <w:r w:rsidDel="00000000" w:rsidR="00000000" w:rsidRPr="00000000">
        <w:rPr>
          <w:rFonts w:ascii="Avenir" w:cs="Avenir" w:eastAsia="Avenir" w:hAnsi="Avenir"/>
          <w:b w:val="1"/>
          <w:rtl w:val="0"/>
        </w:rPr>
        <w:t xml:space="preserve"> </w:t>
      </w:r>
      <w:hyperlink r:id="rId8">
        <w:r w:rsidDel="00000000" w:rsidR="00000000" w:rsidRPr="00000000">
          <w:rPr>
            <w:rFonts w:ascii="Avenir" w:cs="Avenir" w:eastAsia="Avenir" w:hAnsi="Avenir"/>
            <w:b w:val="1"/>
            <w:color w:val="1155cc"/>
            <w:u w:val="single"/>
            <w:rtl w:val="0"/>
          </w:rPr>
          <w:t xml:space="preserve">field trips</w:t>
        </w:r>
      </w:hyperlink>
      <w:r w:rsidDel="00000000" w:rsidR="00000000" w:rsidRPr="00000000">
        <w:rPr>
          <w:rFonts w:ascii="Avenir" w:cs="Avenir" w:eastAsia="Avenir" w:hAnsi="Avenir"/>
          <w:b w:val="1"/>
          <w:rtl w:val="0"/>
        </w:rPr>
        <w:t xml:space="preserve">,</w:t>
      </w:r>
      <w:r w:rsidDel="00000000" w:rsidR="00000000" w:rsidRPr="00000000">
        <w:rPr>
          <w:rFonts w:ascii="Avenir" w:cs="Avenir" w:eastAsia="Avenir" w:hAnsi="Avenir"/>
          <w:b w:val="1"/>
          <w:rtl w:val="0"/>
        </w:rPr>
        <w:t xml:space="preserve"> technology, or protective equipment, etc. </w:t>
      </w:r>
      <w:r w:rsidDel="00000000" w:rsidR="00000000" w:rsidRPr="00000000">
        <w:rPr>
          <w:rFonts w:ascii="Avenir" w:cs="Avenir" w:eastAsia="Avenir" w:hAnsi="Avenir"/>
          <w:rtl w:val="0"/>
        </w:rPr>
        <w:t xml:space="preserve">When students register for courses, they will be notified of any texts and materials pre-ordered for the course through the College Store. Additional required purchases must be identified in the syllabus. </w:t>
      </w:r>
      <w:r w:rsidDel="00000000" w:rsidR="00000000" w:rsidRPr="00000000">
        <w:rPr>
          <w:rFonts w:ascii="Avenir" w:cs="Avenir" w:eastAsia="Avenir" w:hAnsi="Avenir"/>
          <w:rtl w:val="0"/>
        </w:rPr>
        <w:t xml:space="preserve">Please do your best to estimate the total amount students will spend in your class. If the work you assign requires students to have specific hardware or software, please state this clearly and provide a venue for students to </w:t>
      </w:r>
      <w:r w:rsidDel="00000000" w:rsidR="00000000" w:rsidRPr="00000000">
        <w:rPr>
          <w:rFonts w:ascii="Avenir" w:cs="Avenir" w:eastAsia="Avenir" w:hAnsi="Avenir"/>
          <w:i w:val="1"/>
          <w:rtl w:val="0"/>
        </w:rPr>
        <w:t xml:space="preserve">privately </w:t>
      </w:r>
      <w:r w:rsidDel="00000000" w:rsidR="00000000" w:rsidRPr="00000000">
        <w:rPr>
          <w:rFonts w:ascii="Avenir" w:cs="Avenir" w:eastAsia="Avenir" w:hAnsi="Avenir"/>
          <w:rtl w:val="0"/>
        </w:rPr>
        <w:t xml:space="preserve">discuss with you support they may need if they are unable to access optimal personal equipment.</w:t>
      </w:r>
    </w:p>
    <w:p w:rsidR="00000000" w:rsidDel="00000000" w:rsidP="00000000" w:rsidRDefault="00000000" w:rsidRPr="00000000" w14:paraId="0000001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B">
      <w:pPr>
        <w:ind w:left="0" w:firstLine="0"/>
        <w:rPr>
          <w:rFonts w:ascii="Avenir" w:cs="Avenir" w:eastAsia="Avenir" w:hAnsi="Avenir"/>
          <w:b w:val="1"/>
        </w:rPr>
      </w:pPr>
      <w:r w:rsidDel="00000000" w:rsidR="00000000" w:rsidRPr="00000000">
        <w:rPr>
          <w:rFonts w:ascii="Avenir" w:cs="Avenir" w:eastAsia="Avenir" w:hAnsi="Avenir"/>
          <w:b w:val="1"/>
          <w:rtl w:val="0"/>
        </w:rPr>
        <w:t xml:space="preserve">An </w:t>
      </w:r>
      <w:r w:rsidDel="00000000" w:rsidR="00000000" w:rsidRPr="00000000">
        <w:rPr>
          <w:rFonts w:ascii="Avenir" w:cs="Avenir" w:eastAsia="Avenir" w:hAnsi="Avenir"/>
          <w:b w:val="1"/>
          <w:rtl w:val="0"/>
        </w:rPr>
        <w:t xml:space="preserve">overview </w:t>
      </w:r>
      <w:r w:rsidDel="00000000" w:rsidR="00000000" w:rsidRPr="00000000">
        <w:rPr>
          <w:rFonts w:ascii="Avenir" w:cs="Avenir" w:eastAsia="Avenir" w:hAnsi="Avenir"/>
          <w:b w:val="1"/>
          <w:rtl w:val="0"/>
        </w:rPr>
        <w:t xml:space="preserve">of the expectations for the course, including attendance, types of assignments or projects, and field trips or site visits.</w:t>
      </w:r>
    </w:p>
    <w:p w:rsidR="00000000" w:rsidDel="00000000" w:rsidP="00000000" w:rsidRDefault="00000000" w:rsidRPr="00000000" w14:paraId="0000001C">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color w:val="261914"/>
          <w:highlight w:val="white"/>
          <w:rtl w:val="0"/>
        </w:rPr>
        <w:t xml:space="preserve">S</w:t>
      </w:r>
      <w:r w:rsidDel="00000000" w:rsidR="00000000" w:rsidRPr="00000000">
        <w:rPr>
          <w:rFonts w:ascii="Avenir" w:cs="Avenir" w:eastAsia="Avenir" w:hAnsi="Avenir"/>
          <w:color w:val="261914"/>
          <w:highlight w:val="white"/>
          <w:rtl w:val="0"/>
        </w:rPr>
        <w:t xml:space="preserve">tudents are expected to attend all meetings of each class in which they are enrolled and engage in the work of the course in its entirety. They are expected to be ready to start work at the opening of class and to remain for the entire class session. Generally, students who miss more than 20% of the semester’s engagements (or the equivalent 3 out of 15 standard class meetings) will earn a failing grade. </w:t>
      </w:r>
      <w:r w:rsidDel="00000000" w:rsidR="00000000" w:rsidRPr="00000000">
        <w:rPr>
          <w:rFonts w:ascii="Avenir" w:cs="Avenir" w:eastAsia="Avenir" w:hAnsi="Avenir"/>
          <w:color w:val="261914"/>
          <w:highlight w:val="white"/>
          <w:rtl w:val="0"/>
        </w:rPr>
        <w:t xml:space="preserve">Faculty should be aware that international students are required to attend class consistently as part of visa compliance. </w:t>
      </w:r>
      <w:r w:rsidDel="00000000" w:rsidR="00000000" w:rsidRPr="00000000">
        <w:rPr>
          <w:rFonts w:ascii="Avenir" w:cs="Avenir" w:eastAsia="Avenir" w:hAnsi="Avenir"/>
          <w:color w:val="261914"/>
          <w:rtl w:val="0"/>
        </w:rPr>
        <w:t xml:space="preserve">F</w:t>
      </w:r>
      <w:r w:rsidDel="00000000" w:rsidR="00000000" w:rsidRPr="00000000">
        <w:rPr>
          <w:rFonts w:ascii="Avenir" w:cs="Avenir" w:eastAsia="Avenir" w:hAnsi="Avenir"/>
          <w:color w:val="261914"/>
          <w:rtl w:val="0"/>
        </w:rPr>
        <w:t xml:space="preserve">aculty are expected to document </w:t>
      </w:r>
      <w:r w:rsidDel="00000000" w:rsidR="00000000" w:rsidRPr="00000000">
        <w:rPr>
          <w:rFonts w:ascii="Avenir" w:cs="Avenir" w:eastAsia="Avenir" w:hAnsi="Avenir"/>
          <w:color w:val="261914"/>
          <w:rtl w:val="0"/>
        </w:rPr>
        <w:t xml:space="preserve">attendanc</w:t>
      </w:r>
      <w:r w:rsidDel="00000000" w:rsidR="00000000" w:rsidRPr="00000000">
        <w:rPr>
          <w:rFonts w:ascii="Avenir" w:cs="Avenir" w:eastAsia="Avenir" w:hAnsi="Avenir"/>
          <w:color w:val="261914"/>
          <w:rtl w:val="0"/>
        </w:rPr>
        <w:t xml:space="preserve">e</w:t>
      </w:r>
      <w:r w:rsidDel="00000000" w:rsidR="00000000" w:rsidRPr="00000000">
        <w:rPr>
          <w:rFonts w:ascii="Avenir" w:cs="Avenir" w:eastAsia="Avenir" w:hAnsi="Avenir"/>
          <w:color w:val="261914"/>
          <w:rtl w:val="0"/>
        </w:rPr>
        <w:t xml:space="preserve">.</w:t>
      </w:r>
    </w:p>
    <w:p w:rsidR="00000000" w:rsidDel="00000000" w:rsidP="00000000" w:rsidRDefault="00000000" w:rsidRPr="00000000" w14:paraId="0000001D">
      <w:pPr>
        <w:numPr>
          <w:ilvl w:val="1"/>
          <w:numId w:val="2"/>
        </w:numPr>
        <w:ind w:left="2160" w:hanging="360"/>
        <w:rPr>
          <w:rFonts w:ascii="Avenir" w:cs="Avenir" w:eastAsia="Avenir" w:hAnsi="Avenir"/>
        </w:rPr>
      </w:pPr>
      <w:r w:rsidDel="00000000" w:rsidR="00000000" w:rsidRPr="00000000">
        <w:rPr>
          <w:rFonts w:ascii="Avenir" w:cs="Avenir" w:eastAsia="Avenir" w:hAnsi="Avenir"/>
          <w:highlight w:val="white"/>
          <w:rtl w:val="0"/>
        </w:rPr>
        <w:t xml:space="preserve">Faculty members may fail any student who is absent for a significant portion of class time. Excessive absence is defined as missing more than 20% of class meetings. After missing 20% of a class, a student will be required to meet with their academic advisor to discuss continuing in the course.</w:t>
      </w:r>
      <w:r w:rsidDel="00000000" w:rsidR="00000000" w:rsidRPr="00000000">
        <w:rPr>
          <w:rtl w:val="0"/>
        </w:rPr>
      </w:r>
    </w:p>
    <w:p w:rsidR="00000000" w:rsidDel="00000000" w:rsidP="00000000" w:rsidRDefault="00000000" w:rsidRPr="00000000" w14:paraId="0000001E">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Graduate students enrolled in undergraduate courses (level 200-400) are expected to work with the instructor to align coursework with their primary area of inquiry (degree program) and demonstrate substantial investment in pursuing connections between course content and their program focus. In undergraduate liberal arts courses, graduate students are expected to meet three (or more) of five graduate-specific CLOs.</w:t>
      </w:r>
    </w:p>
    <w:p w:rsidR="00000000" w:rsidDel="00000000" w:rsidP="00000000" w:rsidRDefault="00000000" w:rsidRPr="00000000" w14:paraId="0000001F">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Faculty teaching in MFA programs should distinguish if and how course expectations differ for first and second year graduate students within a single course.</w:t>
      </w:r>
    </w:p>
    <w:p w:rsidR="00000000" w:rsidDel="00000000" w:rsidP="00000000" w:rsidRDefault="00000000" w:rsidRPr="00000000" w14:paraId="00000020">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F</w:t>
      </w:r>
      <w:r w:rsidDel="00000000" w:rsidR="00000000" w:rsidRPr="00000000">
        <w:rPr>
          <w:rFonts w:ascii="Avenir" w:cs="Avenir" w:eastAsia="Avenir" w:hAnsi="Avenir"/>
          <w:rtl w:val="0"/>
        </w:rPr>
        <w:t xml:space="preserve">aculty teaching in graduate courses include a statement as to whether students will be assessed using pass/fail or letter grades. (Note the grading policy in Academic Policy Statements, below, must be included on all graduate syllabi.)</w:t>
      </w:r>
      <w:r w:rsidDel="00000000" w:rsidR="00000000" w:rsidRPr="00000000">
        <w:rPr>
          <w:rtl w:val="0"/>
        </w:rPr>
      </w:r>
    </w:p>
    <w:p w:rsidR="00000000" w:rsidDel="00000000" w:rsidP="00000000" w:rsidRDefault="00000000" w:rsidRPr="00000000" w14:paraId="00000021">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All required academic </w:t>
      </w:r>
      <w:r w:rsidDel="00000000" w:rsidR="00000000" w:rsidRPr="00000000">
        <w:rPr>
          <w:rFonts w:ascii="Avenir" w:cs="Avenir" w:eastAsia="Avenir" w:hAnsi="Avenir"/>
          <w:rtl w:val="0"/>
        </w:rPr>
        <w:t xml:space="preserve">field trips or site visits</w:t>
      </w:r>
      <w:r w:rsidDel="00000000" w:rsidR="00000000" w:rsidRPr="00000000">
        <w:rPr>
          <w:rFonts w:ascii="Avenir" w:cs="Avenir" w:eastAsia="Avenir" w:hAnsi="Avenir"/>
          <w:rtl w:val="0"/>
        </w:rPr>
        <w:t xml:space="preserve"> must be </w:t>
      </w:r>
      <w:r w:rsidDel="00000000" w:rsidR="00000000" w:rsidRPr="00000000">
        <w:rPr>
          <w:rFonts w:ascii="Avenir" w:cs="Avenir" w:eastAsia="Avenir" w:hAnsi="Avenir"/>
          <w:rtl w:val="0"/>
        </w:rPr>
        <w:t xml:space="preserve">clearly identified in the course syllabus</w:t>
      </w:r>
      <w:r w:rsidDel="00000000" w:rsidR="00000000" w:rsidRPr="00000000">
        <w:rPr>
          <w:rFonts w:ascii="Avenir" w:cs="Avenir" w:eastAsia="Avenir" w:hAnsi="Avenir"/>
          <w:rtl w:val="0"/>
        </w:rPr>
        <w:t xml:space="preserve"> at the beginning of the semester, discussed with students during the first class session, and take place during class meeting times. Optional field trips or site visits may also be incorporated into the course syllabus at the beginning of the semester. In the event that unforeseen field trip or site visit opportunities arise later in the semester, those trips do not have to be included in the course syllabus, but they cannot be required of all students. </w:t>
      </w:r>
      <w:r w:rsidDel="00000000" w:rsidR="00000000" w:rsidRPr="00000000">
        <w:rPr>
          <w:rtl w:val="0"/>
        </w:rPr>
      </w:r>
    </w:p>
    <w:p w:rsidR="00000000" w:rsidDel="00000000" w:rsidP="00000000" w:rsidRDefault="00000000" w:rsidRPr="00000000" w14:paraId="00000022">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23">
      <w:pPr>
        <w:ind w:left="0" w:firstLine="0"/>
        <w:rPr>
          <w:rFonts w:ascii="Avenir" w:cs="Avenir" w:eastAsia="Avenir" w:hAnsi="Avenir"/>
          <w:b w:val="1"/>
        </w:rPr>
      </w:pPr>
      <w:r w:rsidDel="00000000" w:rsidR="00000000" w:rsidRPr="00000000">
        <w:rPr>
          <w:rFonts w:ascii="Avenir" w:cs="Avenir" w:eastAsia="Avenir" w:hAnsi="Avenir"/>
          <w:b w:val="1"/>
          <w:rtl w:val="0"/>
        </w:rPr>
        <w:t xml:space="preserve">Grade evaluation breakdown/outcomes assessment</w:t>
      </w:r>
    </w:p>
    <w:p w:rsidR="00000000" w:rsidDel="00000000" w:rsidP="00000000" w:rsidRDefault="00000000" w:rsidRPr="00000000" w14:paraId="00000024">
      <w:pPr>
        <w:numPr>
          <w:ilvl w:val="0"/>
          <w:numId w:val="1"/>
        </w:numPr>
        <w:ind w:left="1440" w:hanging="360"/>
        <w:rPr>
          <w:rFonts w:ascii="Avenir" w:cs="Avenir" w:eastAsia="Avenir" w:hAnsi="Avenir"/>
          <w:u w:val="none"/>
        </w:rPr>
      </w:pPr>
      <w:r w:rsidDel="00000000" w:rsidR="00000000" w:rsidRPr="00000000">
        <w:rPr>
          <w:rFonts w:ascii="Avenir" w:cs="Avenir" w:eastAsia="Avenir" w:hAnsi="Avenir"/>
          <w:rtl w:val="0"/>
        </w:rPr>
        <w:t xml:space="preserve">Faculty should provide students with a clear explanation of evaluation and grading practices so that students can understand what constitutes success in the course.</w:t>
      </w:r>
    </w:p>
    <w:p w:rsidR="00000000" w:rsidDel="00000000" w:rsidP="00000000" w:rsidRDefault="00000000" w:rsidRPr="00000000" w14:paraId="00000025">
      <w:pPr>
        <w:numPr>
          <w:ilvl w:val="0"/>
          <w:numId w:val="1"/>
        </w:numPr>
        <w:ind w:left="1440" w:hanging="360"/>
        <w:rPr>
          <w:rFonts w:ascii="Avenir" w:cs="Avenir" w:eastAsia="Avenir" w:hAnsi="Avenir"/>
          <w:u w:val="none"/>
        </w:rPr>
      </w:pPr>
      <w:r w:rsidDel="00000000" w:rsidR="00000000" w:rsidRPr="00000000">
        <w:rPr>
          <w:rFonts w:ascii="Avenir" w:cs="Avenir" w:eastAsia="Avenir" w:hAnsi="Avenir"/>
          <w:rtl w:val="0"/>
        </w:rPr>
        <w:t xml:space="preserve">Graduate Grading System</w:t>
      </w:r>
      <w:r w:rsidDel="00000000" w:rsidR="00000000" w:rsidRPr="00000000">
        <w:rPr>
          <w:rtl w:val="0"/>
        </w:rPr>
      </w:r>
    </w:p>
    <w:p w:rsidR="00000000" w:rsidDel="00000000" w:rsidP="00000000" w:rsidRDefault="00000000" w:rsidRPr="00000000" w14:paraId="00000026">
      <w:pPr>
        <w:spacing w:line="276" w:lineRule="auto"/>
        <w:ind w:left="1440" w:firstLine="0"/>
        <w:rPr>
          <w:rFonts w:ascii="Avenir" w:cs="Avenir" w:eastAsia="Avenir" w:hAnsi="Avenir"/>
          <w:color w:val="2c2b2a"/>
        </w:rPr>
      </w:pPr>
      <w:r w:rsidDel="00000000" w:rsidR="00000000" w:rsidRPr="00000000">
        <w:rPr>
          <w:rFonts w:ascii="Avenir" w:cs="Avenir" w:eastAsia="Avenir" w:hAnsi="Avenir"/>
          <w:rtl w:val="0"/>
        </w:rPr>
        <w:t xml:space="preserve">All MFA and some MA grades are on a pass/fail system.</w:t>
      </w:r>
      <w:r w:rsidDel="00000000" w:rsidR="00000000" w:rsidRPr="00000000">
        <w:rPr>
          <w:rFonts w:ascii="Avenir" w:cs="Avenir" w:eastAsia="Avenir" w:hAnsi="Avenir"/>
          <w:color w:val="2c2b2a"/>
          <w:rtl w:val="0"/>
        </w:rPr>
        <w:t xml:space="preserve"> Graduate (5000) Liberal Arts courses are graded on a Pass/Fail system.</w:t>
      </w:r>
    </w:p>
    <w:p w:rsidR="00000000" w:rsidDel="00000000" w:rsidP="00000000" w:rsidRDefault="00000000" w:rsidRPr="00000000" w14:paraId="00000027">
      <w:pPr>
        <w:shd w:fill="ffffff" w:val="clear"/>
        <w:spacing w:line="276" w:lineRule="auto"/>
        <w:ind w:left="1440" w:firstLine="0"/>
        <w:rPr>
          <w:rFonts w:ascii="Avenir" w:cs="Avenir" w:eastAsia="Avenir" w:hAnsi="Avenir"/>
          <w:color w:val="2c2b2a"/>
        </w:rPr>
      </w:pPr>
      <w:r w:rsidDel="00000000" w:rsidR="00000000" w:rsidRPr="00000000">
        <w:rPr>
          <w:rtl w:val="0"/>
        </w:rPr>
      </w:r>
    </w:p>
    <w:p w:rsidR="00000000" w:rsidDel="00000000" w:rsidP="00000000" w:rsidRDefault="00000000" w:rsidRPr="00000000" w14:paraId="00000028">
      <w:pPr>
        <w:shd w:fill="ffffff" w:val="clear"/>
        <w:spacing w:line="276" w:lineRule="auto"/>
        <w:ind w:left="1440" w:firstLine="0"/>
        <w:rPr>
          <w:rFonts w:ascii="Avenir" w:cs="Avenir" w:eastAsia="Avenir" w:hAnsi="Avenir"/>
          <w:color w:val="2c2b2a"/>
        </w:rPr>
      </w:pPr>
      <w:r w:rsidDel="00000000" w:rsidR="00000000" w:rsidRPr="00000000">
        <w:rPr>
          <w:rFonts w:ascii="Avenir" w:cs="Avenir" w:eastAsia="Avenir" w:hAnsi="Avenir"/>
          <w:color w:val="2c2b2a"/>
          <w:rtl w:val="0"/>
        </w:rPr>
        <w:t xml:space="preserve">The following graduate programs are letter graded: Teaching (MAT), Business of Art &amp; Design (MPS), Information Visualization (MPS), UX Design (MPS), Art Education (Online/Low Residency MA) and Design Leadership (MA/MBA).</w:t>
      </w:r>
    </w:p>
    <w:p w:rsidR="00000000" w:rsidDel="00000000" w:rsidP="00000000" w:rsidRDefault="00000000" w:rsidRPr="00000000" w14:paraId="00000029">
      <w:pPr>
        <w:shd w:fill="ffffff" w:val="clear"/>
        <w:spacing w:line="276" w:lineRule="auto"/>
        <w:ind w:left="1440" w:firstLine="0"/>
        <w:rPr>
          <w:rFonts w:ascii="Avenir" w:cs="Avenir" w:eastAsia="Avenir" w:hAnsi="Avenir"/>
          <w:color w:val="2c2b2a"/>
        </w:rPr>
      </w:pPr>
      <w:r w:rsidDel="00000000" w:rsidR="00000000" w:rsidRPr="00000000">
        <w:rPr>
          <w:rtl w:val="0"/>
        </w:rPr>
      </w:r>
    </w:p>
    <w:p w:rsidR="00000000" w:rsidDel="00000000" w:rsidP="00000000" w:rsidRDefault="00000000" w:rsidRPr="00000000" w14:paraId="0000002A">
      <w:pPr>
        <w:shd w:fill="ffffff" w:val="clear"/>
        <w:spacing w:line="276" w:lineRule="auto"/>
        <w:ind w:left="1440" w:firstLine="0"/>
        <w:rPr>
          <w:rFonts w:ascii="Avenir" w:cs="Avenir" w:eastAsia="Avenir" w:hAnsi="Avenir"/>
          <w:b w:val="1"/>
          <w:color w:val="2c2b2a"/>
        </w:rPr>
      </w:pPr>
      <w:r w:rsidDel="00000000" w:rsidR="00000000" w:rsidRPr="00000000">
        <w:rPr>
          <w:rFonts w:ascii="Avenir" w:cs="Avenir" w:eastAsia="Avenir" w:hAnsi="Avenir"/>
          <w:b w:val="1"/>
          <w:color w:val="2c2b2a"/>
          <w:rtl w:val="0"/>
        </w:rPr>
        <w:t xml:space="preserve">Earning Graduate Credit in Letter Graded Courses</w:t>
      </w:r>
    </w:p>
    <w:p w:rsidR="00000000" w:rsidDel="00000000" w:rsidP="00000000" w:rsidRDefault="00000000" w:rsidRPr="00000000" w14:paraId="0000002B">
      <w:pPr>
        <w:shd w:fill="ffffff" w:val="clear"/>
        <w:spacing w:after="160" w:line="276" w:lineRule="auto"/>
        <w:ind w:left="1440" w:firstLine="0"/>
        <w:rPr>
          <w:rFonts w:ascii="Avenir" w:cs="Avenir" w:eastAsia="Avenir" w:hAnsi="Avenir"/>
          <w:b w:val="1"/>
        </w:rPr>
      </w:pPr>
      <w:r w:rsidDel="00000000" w:rsidR="00000000" w:rsidRPr="00000000">
        <w:rPr>
          <w:rFonts w:ascii="Avenir" w:cs="Avenir" w:eastAsia="Avenir" w:hAnsi="Avenir"/>
          <w:color w:val="2c2b2a"/>
          <w:rtl w:val="0"/>
        </w:rPr>
        <w:t xml:space="preserve">All MFA and MA students enrolling in letter-graded graduate or undergraduate courses must earn a "B" or better in order to receive graduate credit for the course. As all MFA grades are earned on a Pass (P)/Fail (F) system, all posted grades of B- or below will automatically be changed to an “F” on graduate student transcripts at the end of each semester.</w:t>
      </w:r>
      <w:r w:rsidDel="00000000" w:rsidR="00000000" w:rsidRPr="00000000">
        <w:rPr>
          <w:rtl w:val="0"/>
        </w:rPr>
      </w:r>
    </w:p>
    <w:p w:rsidR="00000000" w:rsidDel="00000000" w:rsidP="00000000" w:rsidRDefault="00000000" w:rsidRPr="00000000" w14:paraId="0000002C">
      <w:pPr>
        <w:shd w:fill="ffffff" w:val="clear"/>
        <w:spacing w:after="0" w:line="240" w:lineRule="auto"/>
        <w:ind w:left="0" w:firstLine="0"/>
        <w:rPr>
          <w:rFonts w:ascii="Avenir" w:cs="Avenir" w:eastAsia="Avenir" w:hAnsi="Avenir"/>
        </w:rPr>
      </w:pPr>
      <w:r w:rsidDel="00000000" w:rsidR="00000000" w:rsidRPr="00000000">
        <w:rPr>
          <w:rFonts w:ascii="Avenir" w:cs="Avenir" w:eastAsia="Avenir" w:hAnsi="Avenir"/>
          <w:b w:val="1"/>
          <w:rtl w:val="0"/>
        </w:rPr>
        <w:t xml:space="preserve">Weekly course outline.</w:t>
      </w:r>
      <w:r w:rsidDel="00000000" w:rsidR="00000000" w:rsidRPr="00000000">
        <w:rPr>
          <w:rFonts w:ascii="Avenir" w:cs="Avenir" w:eastAsia="Avenir" w:hAnsi="Avenir"/>
          <w:rtl w:val="0"/>
        </w:rPr>
        <w:t xml:space="preserve"> Indicate the subjects you will be covering each week, in-class meeting times and/or scheduled online interactions, readings and assignments, visiting artist/speaker schedule, field trips or site visits, timeframes, and deadlines – understanding of course that the outline may be subject to some change as the semester progresses.</w:t>
      </w:r>
    </w:p>
    <w:p w:rsidR="00000000" w:rsidDel="00000000" w:rsidP="00000000" w:rsidRDefault="00000000" w:rsidRPr="00000000" w14:paraId="0000002D">
      <w:pPr>
        <w:shd w:fill="ffffff" w:val="clear"/>
        <w:spacing w:after="0"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E">
      <w:pPr>
        <w:shd w:fill="ffffff" w:val="clear"/>
        <w:spacing w:after="0" w:line="240" w:lineRule="auto"/>
        <w:ind w:left="0" w:firstLine="0"/>
        <w:rPr>
          <w:rFonts w:ascii="Avenir" w:cs="Avenir" w:eastAsia="Avenir" w:hAnsi="Avenir"/>
        </w:rPr>
      </w:pPr>
      <w:r w:rsidDel="00000000" w:rsidR="00000000" w:rsidRPr="00000000">
        <w:rPr>
          <w:rFonts w:ascii="Avenir" w:cs="Avenir" w:eastAsia="Avenir" w:hAnsi="Avenir"/>
          <w:b w:val="1"/>
          <w:rtl w:val="0"/>
        </w:rPr>
        <w:t xml:space="preserve">Scheduling of student course evaluations. </w:t>
      </w:r>
      <w:r w:rsidDel="00000000" w:rsidR="00000000" w:rsidRPr="00000000">
        <w:rPr>
          <w:rFonts w:ascii="Avenir" w:cs="Avenir" w:eastAsia="Avenir" w:hAnsi="Avenir"/>
          <w:rtl w:val="0"/>
        </w:rPr>
        <w:t xml:space="preserve">Faculty are required to set aside time in class for students to complete the electronic course evaluations.</w:t>
      </w:r>
    </w:p>
    <w:p w:rsidR="00000000" w:rsidDel="00000000" w:rsidP="00000000" w:rsidRDefault="00000000" w:rsidRPr="00000000" w14:paraId="0000002F">
      <w:pPr>
        <w:shd w:fill="ffffff" w:val="clear"/>
        <w:spacing w:after="0"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0">
      <w:pPr>
        <w:shd w:fill="ffffff" w:val="clear"/>
        <w:spacing w:after="0" w:line="24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Reference to </w:t>
      </w:r>
      <w:r w:rsidDel="00000000" w:rsidR="00000000" w:rsidRPr="00000000">
        <w:rPr>
          <w:rFonts w:ascii="Avenir" w:cs="Avenir" w:eastAsia="Avenir" w:hAnsi="Avenir"/>
          <w:b w:val="1"/>
          <w:rtl w:val="0"/>
        </w:rPr>
        <w:t xml:space="preserve">MICA’s full set of </w:t>
      </w:r>
      <w:hyperlink r:id="rId9">
        <w:r w:rsidDel="00000000" w:rsidR="00000000" w:rsidRPr="00000000">
          <w:rPr>
            <w:rFonts w:ascii="Avenir" w:cs="Avenir" w:eastAsia="Avenir" w:hAnsi="Avenir"/>
            <w:b w:val="1"/>
            <w:color w:val="1155cc"/>
            <w:u w:val="single"/>
            <w:rtl w:val="0"/>
          </w:rPr>
          <w:t xml:space="preserve">Academic Policies</w:t>
        </w:r>
      </w:hyperlink>
      <w:r w:rsidDel="00000000" w:rsidR="00000000" w:rsidRPr="00000000">
        <w:rPr>
          <w:rFonts w:ascii="Avenir" w:cs="Avenir" w:eastAsia="Avenir" w:hAnsi="Avenir"/>
          <w:b w:val="1"/>
          <w:rtl w:val="0"/>
        </w:rPr>
        <w:t xml:space="preserve"> and procedures, and full statements of the following policies pasted into the syllabus or shared in a separate document:</w:t>
      </w:r>
      <w:r w:rsidDel="00000000" w:rsidR="00000000" w:rsidRPr="00000000">
        <w:rPr>
          <w:rtl w:val="0"/>
        </w:rPr>
      </w:r>
    </w:p>
    <w:p w:rsidR="00000000" w:rsidDel="00000000" w:rsidP="00000000" w:rsidRDefault="00000000" w:rsidRPr="00000000" w14:paraId="00000031">
      <w:pPr>
        <w:shd w:fill="ffffff" w:val="clear"/>
        <w:spacing w:after="0" w:line="24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32">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Academic Disability Accommodations</w:t>
      </w:r>
      <w:r w:rsidDel="00000000" w:rsidR="00000000" w:rsidRPr="00000000">
        <w:rPr>
          <w:rtl w:val="0"/>
        </w:rPr>
      </w:r>
    </w:p>
    <w:p w:rsidR="00000000" w:rsidDel="00000000" w:rsidP="00000000" w:rsidRDefault="00000000" w:rsidRPr="00000000" w14:paraId="0000003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MICA makes reasonable academic accommodations for qualified students with disabilities. All academic accommodations must be approved through the Learning Resource Center (LRC). Students requesting accommodation should schedule an appointment at the </w:t>
      </w:r>
      <w:r w:rsidDel="00000000" w:rsidR="00000000" w:rsidRPr="00000000">
        <w:rPr>
          <w:rFonts w:ascii="Avenir" w:cs="Avenir" w:eastAsia="Avenir" w:hAnsi="Avenir"/>
          <w:sz w:val="20"/>
          <w:szCs w:val="20"/>
          <w:rtl w:val="0"/>
        </w:rPr>
        <w:t xml:space="preserve">LRC (410-225-2416 or e-mail LRC@mica.edu), located in Bunting 110</w:t>
      </w:r>
      <w:r w:rsidDel="00000000" w:rsidR="00000000" w:rsidRPr="00000000">
        <w:rPr>
          <w:rFonts w:ascii="Avenir" w:cs="Avenir" w:eastAsia="Avenir" w:hAnsi="Avenir"/>
          <w:sz w:val="20"/>
          <w:szCs w:val="20"/>
          <w:rtl w:val="0"/>
        </w:rPr>
        <w:t xml:space="preserve">. It is the student’s responsibility to make an accommodation request in a timely manner.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222222"/>
          <w:sz w:val="20"/>
          <w:szCs w:val="20"/>
          <w:rtl w:val="0"/>
        </w:rPr>
        <w:t xml:space="preserve">Academic accommodations are not retroactive.</w:t>
      </w:r>
      <w:r w:rsidDel="00000000" w:rsidR="00000000" w:rsidRPr="00000000">
        <w:rPr>
          <w:rtl w:val="0"/>
        </w:rPr>
      </w:r>
    </w:p>
    <w:p w:rsidR="00000000" w:rsidDel="00000000" w:rsidP="00000000" w:rsidRDefault="00000000" w:rsidRPr="00000000" w14:paraId="0000003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5">
      <w:pPr>
        <w:ind w:right="-260"/>
        <w:rPr>
          <w:rFonts w:ascii="Avenir" w:cs="Avenir" w:eastAsia="Avenir" w:hAnsi="Avenir"/>
          <w:b w:val="1"/>
          <w:i w:val="1"/>
          <w:sz w:val="20"/>
          <w:szCs w:val="20"/>
        </w:rPr>
      </w:pPr>
      <w:r w:rsidDel="00000000" w:rsidR="00000000" w:rsidRPr="00000000">
        <w:rPr>
          <w:rFonts w:ascii="Avenir" w:cs="Avenir" w:eastAsia="Avenir" w:hAnsi="Avenir"/>
          <w:b w:val="1"/>
          <w:sz w:val="20"/>
          <w:szCs w:val="20"/>
          <w:rtl w:val="0"/>
        </w:rPr>
        <w:t xml:space="preserve">Environmental Health and Safety (EHS):</w:t>
      </w:r>
      <w:r w:rsidDel="00000000" w:rsidR="00000000" w:rsidRPr="00000000">
        <w:rPr>
          <w:rFonts w:ascii="Avenir" w:cs="Avenir" w:eastAsia="Avenir" w:hAnsi="Avenir"/>
          <w:sz w:val="20"/>
          <w:szCs w:val="20"/>
          <w:rtl w:val="0"/>
        </w:rPr>
        <w:t xml:space="preserve"> Students are responsible to follow health and safety guidelines relevant to their individual activities, processes, and to review MICA's Emergency Operations Plan and attend EHS training. Students are required to purchase personal protection equipment appropriate for their major or class. Those students who do not have the proper personal protection equipment will not be permitted to attend class until safe measures and personal protection are in place. </w:t>
      </w:r>
      <w:r w:rsidDel="00000000" w:rsidR="00000000" w:rsidRPr="00000000">
        <w:rPr>
          <w:rFonts w:ascii="Avenir" w:cs="Avenir" w:eastAsia="Avenir" w:hAnsi="Avenir"/>
          <w:b w:val="1"/>
          <w:i w:val="1"/>
          <w:sz w:val="20"/>
          <w:szCs w:val="20"/>
          <w:rtl w:val="0"/>
        </w:rPr>
        <w:t xml:space="preserve">**Fall 2020: Students are expected to abide by the MICA Social Contract for Students to help prevent the spread of COVID-19.</w:t>
      </w:r>
    </w:p>
    <w:p w:rsidR="00000000" w:rsidDel="00000000" w:rsidP="00000000" w:rsidRDefault="00000000" w:rsidRPr="00000000" w14:paraId="0000003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7">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Plagiarism</w:t>
      </w:r>
    </w:p>
    <w:p w:rsidR="00000000" w:rsidDel="00000000" w:rsidP="00000000" w:rsidRDefault="00000000" w:rsidRPr="00000000" w14:paraId="0000003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discipline within the arts has specific and appropriate means for students to cite or acknowledge sources and the ideas and material of others used in their own work. Students have the responsibility to become familiar with such processes and to carefully follow their use in developing original work.</w:t>
      </w:r>
    </w:p>
    <w:p w:rsidR="00000000" w:rsidDel="00000000" w:rsidP="00000000" w:rsidRDefault="00000000" w:rsidRPr="00000000" w14:paraId="0000003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A">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Policy</w:t>
      </w:r>
    </w:p>
    <w:p w:rsidR="00000000" w:rsidDel="00000000" w:rsidP="00000000" w:rsidRDefault="00000000" w:rsidRPr="00000000" w14:paraId="0000003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MICA will not tolerate plagiarism, which is defined as claiming authorship of, or using someone else's ideas or work without proper acknowledgement. Without proper attribution, a student may NOT replicate another's work, paraphrase another's ideas, or appropriate images in a manner that violates the specific rules against plagiarism in the student's department. In addition, students may not submit the same work for credit in more than one course without the explicit approval of all of the instructors of the courses involved.</w:t>
      </w:r>
    </w:p>
    <w:p w:rsidR="00000000" w:rsidDel="00000000" w:rsidP="00000000" w:rsidRDefault="00000000" w:rsidRPr="00000000" w14:paraId="0000003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D">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Consequences</w:t>
      </w:r>
    </w:p>
    <w:p w:rsidR="00000000" w:rsidDel="00000000" w:rsidP="00000000" w:rsidRDefault="00000000" w:rsidRPr="00000000" w14:paraId="0000003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an instructor has evidence that a student has plagiarized work submitted for course credit, the instructor will confront the student and impose penalties that may include failing the course. In the case of a serious violation or repeated infractions from the same student, the instructor will report the infractions to the department chair or program director. Depending on the circumstances of the case, the department chair or program director may then report the student to the appropriate dean or provost, who may choose to impose further penalties, including expulsion.</w:t>
      </w:r>
    </w:p>
    <w:p w:rsidR="00000000" w:rsidDel="00000000" w:rsidP="00000000" w:rsidRDefault="00000000" w:rsidRPr="00000000" w14:paraId="0000003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0">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Appeal Process</w:t>
      </w:r>
    </w:p>
    <w:p w:rsidR="00000000" w:rsidDel="00000000" w:rsidP="00000000" w:rsidRDefault="00000000" w:rsidRPr="00000000" w14:paraId="0000004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who are penalized by an instructor or department for committing plagiarism have the right to appeal the charge and penalties that ensue. Within three weeks of institutional action, the student must submit a letter of appeal to the department chairperson or program director, or relevant dean or provost related to the course for which actions were taken. The academic officer will assign three members of the relevant department/division to serve on a review panel. The panel will meet with the student and the instructor of record and will review all relevant and available materials. The panel will determine whether or not to confirm the charge and penalties. The findings of the panel are final. The panel will notify the instructor, the chairperson, division, the student, and the Office of Academic Affairs of their findings and any recommendations for change in penalties.</w:t>
      </w:r>
    </w:p>
    <w:p w:rsidR="00000000" w:rsidDel="00000000" w:rsidP="00000000" w:rsidRDefault="00000000" w:rsidRPr="00000000" w14:paraId="0000004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3">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Title IX Notification</w:t>
      </w:r>
    </w:p>
    <w:p w:rsidR="00000000" w:rsidDel="00000000" w:rsidP="00000000" w:rsidRDefault="00000000" w:rsidRPr="00000000" w14:paraId="00000044">
      <w:pPr>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Maryland Institute College of Art seeks to provide an educational environment based on mutual respect that is free from discrimination and harassment. </w:t>
      </w:r>
      <w:hyperlink r:id="rId10">
        <w:r w:rsidDel="00000000" w:rsidR="00000000" w:rsidRPr="00000000">
          <w:rPr>
            <w:rFonts w:ascii="Avenir" w:cs="Avenir" w:eastAsia="Avenir" w:hAnsi="Avenir"/>
            <w:color w:val="1155cc"/>
            <w:sz w:val="20"/>
            <w:szCs w:val="20"/>
            <w:highlight w:val="white"/>
            <w:u w:val="single"/>
            <w:rtl w:val="0"/>
          </w:rPr>
          <w:t xml:space="preserve">There are multiple ways to report sexual harassment/misconduct/assault and reports are encouraged</w:t>
        </w:r>
      </w:hyperlink>
      <w:r w:rsidDel="00000000" w:rsidR="00000000" w:rsidRPr="00000000">
        <w:rPr>
          <w:rFonts w:ascii="Avenir" w:cs="Avenir" w:eastAsia="Avenir" w:hAnsi="Avenir"/>
          <w:sz w:val="20"/>
          <w:szCs w:val="20"/>
          <w:highlight w:val="white"/>
          <w:rtl w:val="0"/>
        </w:rPr>
        <w:t xml:space="preserve">. Students requiring academic adjustments due to an incident involving sexual harassment or discrimination should contact Student Affairs at 410.225.2422 or Human Resources at 410.225.2363. Keeping with institutional commitments to equity and to comply with Title IX of the Education Amendments of 1972 and guidance from the Office for Civil Rights, faculty and staff members are required to report disclosures of gender based discrimination made to them by students. However, n</w:t>
      </w:r>
      <w:r w:rsidDel="00000000" w:rsidR="00000000" w:rsidRPr="00000000">
        <w:rPr>
          <w:rFonts w:ascii="Avenir" w:cs="Avenir" w:eastAsia="Avenir" w:hAnsi="Avenir"/>
          <w:color w:val="261914"/>
          <w:sz w:val="20"/>
          <w:szCs w:val="20"/>
          <w:highlight w:val="white"/>
          <w:rtl w:val="0"/>
        </w:rPr>
        <w:t xml:space="preserve">othing in this policy shall abridge academic freedom or MICA’s educational mission. Prohibitions against discrimination and discriminatory harassment do not extend to actions, statements, or written materials that are relevant and appropriately related to course subject matter or academic discussion. </w:t>
      </w:r>
      <w:r w:rsidDel="00000000" w:rsidR="00000000" w:rsidRPr="00000000">
        <w:rPr>
          <w:rtl w:val="0"/>
        </w:rPr>
      </w:r>
    </w:p>
    <w:p w:rsidR="00000000" w:rsidDel="00000000" w:rsidP="00000000" w:rsidRDefault="00000000" w:rsidRPr="00000000" w14:paraId="0000004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6">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Students with Extended Illness or Absence</w:t>
      </w:r>
    </w:p>
    <w:p w:rsidR="00000000" w:rsidDel="00000000" w:rsidP="00000000" w:rsidRDefault="00000000" w:rsidRPr="00000000" w14:paraId="00000047">
      <w:pPr>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**This includes quarantine for Fall 2020.</w:t>
      </w:r>
      <w:r w:rsidDel="00000000" w:rsidR="00000000" w:rsidRPr="00000000">
        <w:rPr>
          <w:rtl w:val="0"/>
        </w:rPr>
      </w:r>
    </w:p>
    <w:p w:rsidR="00000000" w:rsidDel="00000000" w:rsidP="00000000" w:rsidRDefault="00000000" w:rsidRPr="00000000" w14:paraId="0000004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In the case of extended illness or other absences that may keep the student from attending a class for more than three meetings, undergraduate students must contact the Student Development Specialist in the Division of Student Affairs or have an official disability accommodation letter issued by the Learning Resource Center that specifically addresses class absences. For students who have not been approved for academic disability accommodations, the Student Development Specialist will work with the student to determine the cause and appropriateness of the absences and subsequently notify instructors as necessary. Graduate students must contact the instructor, director, and Associate Dean of Graduate Studies. Students in professional studies programs must contact the Associate Dean for Open Studies. The appropriate administrator will facilitate a conversation with relevant faculty to determine whether the student can achieve satisfactory academic progress, which is ultimately at the sole discretion of the faculty member.</w:t>
      </w:r>
    </w:p>
    <w:sectPr>
      <w:headerReference r:id="rId11" w:type="default"/>
      <w:footerReference r:id="rId12" w:type="default"/>
      <w:footerReference r:id="rId13"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Garamond" w:cs="Garamond" w:eastAsia="Garamond" w:hAnsi="Garamond"/>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Fonts w:ascii="Avenir" w:cs="Avenir" w:eastAsia="Avenir" w:hAnsi="Avenir"/>
        <w:rtl w:val="0"/>
      </w:rPr>
      <w:t xml:space="preserve">Updated July 2020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mica.edu/mica-dna/policies/institutional-policies/affirmative-action-2/affirmative-action/"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a.edu/mica-dna/policies/academic-policies-resources/" TargetMode="External"/><Relationship Id="rId5" Type="http://schemas.openxmlformats.org/officeDocument/2006/relationships/styles" Target="styles.xml"/><Relationship Id="rId6" Type="http://schemas.openxmlformats.org/officeDocument/2006/relationships/hyperlink" Target="http://mica.instructure.com" TargetMode="External"/><Relationship Id="rId7" Type="http://schemas.openxmlformats.org/officeDocument/2006/relationships/hyperlink" Target="https://support.zoom.us/hc/en-us/articles/203276937-Using-Personal-Meeting-ID-PMI-" TargetMode="External"/><Relationship Id="rId8" Type="http://schemas.openxmlformats.org/officeDocument/2006/relationships/hyperlink" Target="https://www.mica.edu/mica-dna/policies/institutional-policies/transportation-policies/types-of-allowable-transportatio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